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Kancelaria KWKR doradzała spółce Ailleron przy strategicznej transakcji z Santander Leasing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Klient kancelarii KWKR Konieczny Wierzbicki i Partnerzy, spółka technologiczna z grupy Ailleron, podpisał umowę z Santander Leasing, w ramach której wdroży swój system LiveBank w modelu chmurowym. Jak informuje Ailleron w swoim komunikacie prasowym, transakcja ta jest kamieniem milowym w cyfrowych innowacjach i rewolucją, z której klienci Santander Leasing czerpać będą ogromne korzyści.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 Santander Leasing umożliwia udostępnienie klientom firmy leasingowej platformy LiveBank w modelu SaaS. Platforma LiveBank to cyfrowe narzędzie do zarządzania sprawami klientów, które umożliwia zdalne komunikowanie się z nimi. Dzięki LiveBank klienci Santander Leasing mogą w dowolnym momencie nawiązać połączenie czatowe z konsultantem firmy. Platforma oferuje również możliwość współdzielenia dokumentów i przeglądania historii rozmów, co ułatwia współpracę i wzmacnia relacje z klientami. Umowa ma dla spółki i Grupy Ailleron strategiczne znaczenie. Jest to pierwsze wdrożenie LiveBank dla instytucji leasingowej, co stanowi innowację w tym sektorze.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Stroną umowy jest również Operator Chmury Krajowej sp. z o.o. której zadaniem będzie świadczenie usługi chmurowej oraz wsparcie w zakresie zapewnienia zgodności wykorzystywanych usług chmurowych z wymogami prawa oraz regulacjami branżowymi, w szczególności tzw. komunikatu chmurowego UKNF.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naszych zadań, przygotowaliśmy wzór umowy na udostępnienie LiveBank Cloud w modelu SaaS uwzględniający rolę OChK oraz spełniający wymogi regulacyjne sektora finansowego. Wspieraliśmy także od strony prawnej negocjowanie umowy.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Głównym wyzwaniem było wypracowanie kompromisu w ramach wielostronnej umowy, przy jednoczesnym uwzględnieniu wymogów regulacyjnych sektora finansowego ale także zabezpieczeniu interesów naszego Klienta, Ailleron </w:t>
      </w:r>
      <w:r>
        <w:rPr>
          <w:rFonts w:ascii="calibri" w:hAnsi="calibri" w:eastAsia="calibri" w:cs="calibri"/>
          <w:sz w:val="24"/>
          <w:szCs w:val="24"/>
        </w:rPr>
        <w:t xml:space="preserve">– wskazuje zaangażowana w proces negocjacji radca prawny i ekspert ds. FinTech w kancelarii KWKR Gabriela Kocurek.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się, że mogliśmy wesprzeć Ailleron przy przygotowaniu i negocjowaniu tej kluczowej dla spółki umowy. Życzymy Ailleron, Santander Leasing i OChK dobrej i długiej współpracy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2026-08-23T09:58:32+02:00</dcterms:created>
  <dcterms:modified xsi:type="dcterms:W3CDTF">2026-08-23T09:58:32+02:00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