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Kryptowaluty a PIT – jak poprawnie rozliczyć waluty wirtualne w PIT-38?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Podatnicy, którzy kupują i sprzedają kryptowaluty muszą pamiętać, aby do 2 maja br. złożyć roczne zeznanie podatkowe na formularzu PIT38. Jednak - jak widać po ilości wydawanych w tym temacie interpretacji indywidualnych - zasady opodatkowania tych wartości wirtualnych stanowią nie lada problem. Jak poprawnie rozliczyć kryptowaluty i jakie możliwe niedogodności podatkowe czyhają na podatników?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to są kryptowaluty?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Pojęcie „kryptowaluty” jest wyrażeniem potocznym, które nie występuje w przepisach. W ustawie o PIT mowa jest o „walucie wirtualnej”, rozumianej jako cyfrowe odwzorowanie wartości, wymienialne w obrocie gospodarczym na prawne środki płatnicze i akceptowane jako środek wymiany, a także mogące być elektronicznie przechowywane, przeniesione albo używane w handlu elektronicznym.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opodatkowane są kryptowaluty?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Przedmiotem opodatkowania PIT są wszelkiego rodzaju dochody z paroma ustawowymi wyjątkami. W skrócie: dochód to różnica między sumą uzyskanych w danym roku podatkowym przychodów a kosztami uzyskania przychodów. W przypadku kryptowalut przychód ten uważany jest za tzw. przychód z kapitałów pieniężnych i powstaje dopiero w momencie ich odpłatnego zbycia.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Jednocześnie wymiana jednej kryptowaluty na inną kryptowalutę jest jednak podatkowo obojętna, a więc nie będzie traktowana jako odpłatne zbycie tej waluty. Co za tym idzie – nie będzie też w świetle prawa traktowana jako podatek dochodowy od osób fizycznych. Dopiero odpowiednie przewalutowanie kryptowaluty na walutę tradycyjną tworzy obowiązek podatkowy.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Co jeszcze należy wziąć pod uwagę przy składaniu PIT-38?</w:t>
      </w:r>
      <w:r>
        <w:rPr>
          <w:rFonts w:ascii="calibri" w:hAnsi="calibri" w:eastAsia="calibri" w:cs="calibri"/>
          <w:sz w:val="24"/>
          <w:szCs w:val="24"/>
        </w:rPr>
        <w:t xml:space="preserve"> Na te oraz wiele innych pytań odpowiedzi udzielili specjaliści z kancelarii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KWKR Konieczny Wierzbicki i Partnerzy</w:t>
        </w:r>
      </w:hyperlink>
      <w:r>
        <w:rPr>
          <w:rFonts w:ascii="calibri" w:hAnsi="calibri" w:eastAsia="calibri" w:cs="calibri"/>
          <w:sz w:val="24"/>
          <w:szCs w:val="24"/>
        </w:rPr>
        <w:t xml:space="preserve"> - zachęcamy Państwa do lektury naszego poradnika!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iecznywierzbicki.pl/kryptowaluty-a-p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2026-08-23T09:59:02+02:00</dcterms:created>
  <dcterms:modified xsi:type="dcterms:W3CDTF">2026-08-23T09:59:02+02:00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