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doradzało NIF ASI przy pozyskaniu milionowego finansowania dla WEALTHON</w:t>
      </w:r>
    </w:p>
    <w:p>
      <w:pPr>
        <w:spacing w:before="0" w:after="500" w:line="264" w:lineRule="auto"/>
      </w:pPr>
      <w:r>
        <w:rPr>
          <w:rFonts w:ascii="calibri" w:hAnsi="calibri" w:eastAsia="calibri" w:cs="calibri"/>
          <w:sz w:val="36"/>
          <w:szCs w:val="36"/>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Kancelaria KWKR Konieczny Wierzbicki i Partnerzy doradzała przy kolejnej wspólnej inwestycji NCBR Investment Fund ASI S.A. oraz funduszu 4Growth VC. Projekt dotyczył spółki WEALTHON S.A., która dzięki zakończonej transakcji otrzymała kapitał, który pozwoli na dalszy rozwój produktów spółki i umocnienie jej pozycji rynkowej.</w:t>
      </w:r>
    </w:p>
    <w:p>
      <w:pPr>
        <w:spacing w:before="0" w:after="300"/>
      </w:pPr>
      <w:r>
        <w:rPr>
          <w:rFonts w:ascii="calibri" w:hAnsi="calibri" w:eastAsia="calibri" w:cs="calibri"/>
          <w:sz w:val="24"/>
          <w:szCs w:val="24"/>
        </w:rPr>
        <w:t xml:space="preserve">WEALTHON S.A. to polski fintech oferujący narzędzia oraz innowacyjne formy finansowania dla małych i średnich przedsiębiorstw. Do flagowych produktów tej spółki należy POSCASH czyli finansowanie udzielane na podstawie obrotów firmy na terminalu płatniczym.</w:t>
      </w:r>
    </w:p>
    <w:p>
      <w:pPr>
        <w:spacing w:before="0" w:after="300"/>
      </w:pPr>
      <w:r>
        <w:rPr>
          <w:rFonts w:ascii="calibri" w:hAnsi="calibri" w:eastAsia="calibri" w:cs="calibri"/>
          <w:sz w:val="24"/>
          <w:szCs w:val="24"/>
        </w:rPr>
        <w:t xml:space="preserve">W ramach transakcji, w której doradzał zespół prawników naszej kancelarii w składzie Paulina Opiełka, Paweł Machowski i Jarosław Straś, spółka pozyskała 12 mln zł od funduszu 4growth VC i NCBR Investment Fund ASI S.A.</w:t>
      </w:r>
    </w:p>
    <w:p>
      <w:pPr>
        <w:spacing w:before="0" w:after="300"/>
      </w:pPr>
      <w:r>
        <w:rPr>
          <w:rFonts w:ascii="calibri" w:hAnsi="calibri" w:eastAsia="calibri" w:cs="calibri"/>
          <w:sz w:val="24"/>
          <w:szCs w:val="24"/>
        </w:rPr>
        <w:t xml:space="preserve">W sprawie doradzali także prawnicy z kancelarii LSW Bieńkowski, Laskowski, Leśnodorski, Melzacki i Wspólnicy, oraz Lewczuk Łyszczarek i Wspólnicy S.K.A.</w:t>
      </w:r>
    </w:p>
    <w:p>
      <w:pPr>
        <w:spacing w:before="0" w:after="300"/>
      </w:pPr>
      <w:r>
        <w:rPr>
          <w:rFonts w:ascii="calibri" w:hAnsi="calibri" w:eastAsia="calibri" w:cs="calibri"/>
          <w:sz w:val="24"/>
          <w:szCs w:val="24"/>
        </w:rPr>
        <w:t xml:space="preserve">Inwestycja w spółkę WEALTHON S.A. stanowi trzecią w tym roku inwestycję funduszu NCBR Investment Fund ASI S.A., w której doradzała kancelaria KWKR Konieczny Wierzbicki i Partnerzy. Poprzednie transakcje dotyczyły spółek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Plenti S.A.</w:t>
        </w:r>
      </w:hyperlink>
      <w:r>
        <w:rPr>
          <w:rFonts w:ascii="calibri" w:hAnsi="calibri" w:eastAsia="calibri" w:cs="calibri"/>
          <w:sz w:val="24"/>
          <w:szCs w:val="24"/>
        </w:rPr>
        <w:t xml:space="preserve"> </w:t>
      </w:r>
      <w:r>
        <w:rPr>
          <w:rFonts w:ascii="calibri" w:hAnsi="calibri" w:eastAsia="calibri" w:cs="calibri"/>
          <w:sz w:val="24"/>
          <w:szCs w:val="24"/>
        </w:rPr>
        <w:t xml:space="preserve">oraz FindAir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iecznywierzbicki.pl/wsparcie-prawne-kwkr-przy-owocnej-inwestycji-w-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2026-03-24T04:57:00+01:00</dcterms:created>
  <dcterms:modified xsi:type="dcterms:W3CDTF">2026-03-24T04:57:00+01:00</dcterms:modified>
</cp:coreProperties>
</file>

<file path=docProps/custom.xml><?xml version="1.0" encoding="utf-8"?>
<Properties xmlns="http://schemas.openxmlformats.org/officeDocument/2006/custom-properties" xmlns:vt="http://schemas.openxmlformats.org/officeDocument/2006/docPropsVTypes"/>
</file>