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przy konsolidacji grupy kapitałowej Software Mind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wieloletniemu klientowi Software Mind sp. z o.o. z siedzibą w Krakowie (software house) przy pośrednim nabyciu pozostałych 30% udziałów w amerykańskich spółkach Virtual M Inc. oraz The Big Three 912 Inc. Transakcja umożliwiła pełną konsolidację grupy kapitałowej Software Mind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doradzała wieloletniemu klientowi Software Mind sp. z o.o. z siedzibą w Krakowie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software house) </w:t>
      </w:r>
      <w:r>
        <w:rPr>
          <w:rFonts w:ascii="calibri" w:hAnsi="calibri" w:eastAsia="calibri" w:cs="calibri"/>
          <w:sz w:val="24"/>
          <w:szCs w:val="24"/>
          <w:b/>
        </w:rPr>
        <w:t xml:space="preserve">przy pośrednim nabyciu pozostałych 30% udziałów w amerykańskich spółkach Virtual M Inc. oraz The Big Three 912 Inc. Transakcja umożliwiła pełną konsolidację grupy kapitałowej Software Mind w Stanach Zjednoczonych.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realizacji umowy nabycia pozostałych 30% udziałów (SPA) w kapitale zakładowym spółek zależnych od Software Mind Inc. (spółka zależna od Software Mind 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, tj. Virtual M Inc. oraz The Big Three 912 Inc, nasz klient stał się pośrednio właścicielem 100% udziałów w obu spółkach z siedzibą w Delaware (USA). Wcześniej, w lutym 2022 roku, Software Mind Inc. nabył już 70% udziałów w kapitałach zakładowych wskazanych spółek od tych samych wspólników.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przeprowadził skuteczne negocjacje warunków umowy SPA oraz koordynował procedurę międzynarodowego podpisania i zamknięcia transakcji. Kancelaria współpracowała z prawnikami z USA i Argentyny, a także z wewnętrznym działem prawnym klienta. Projekt wymagał współdziałania różnych zespołów specjalistycznych, w tym doradców podatkowych, oraz sprawnej komunikacji między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sprawą czuwało grono naszych ekspertów z zespołu corporate: partner Paulina Opiełka, senior associate Rafał Wiliński i junior associates Maciej Ziemiański i Sandra Murdzek. W transakcji uczestniczyła również amerykańska kancelaria Lippes Mathias jako doradca lokalny.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była przedmiotem publikacji Raportu ESPI wspólnika Software Mind sp. z o.o., tj. spółki pod firmą: Ailleron S.A. (Raport ESPI nr 4/2025: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https://ailleron.com/pl/raporty/raport-espi-nr-4-2025/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lleron.com/pl/raporty/raport-espi-nr-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2025-11-03T17:43:19+01:00</dcterms:created>
  <dcterms:modified xsi:type="dcterms:W3CDTF">2025-11-03T17:43:19+01:00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